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:rsidR="00BD539A" w:rsidRPr="00A27093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A27093">
        <w:rPr>
          <w:rFonts w:ascii="Garamond" w:hAnsi="Garamond"/>
          <w:b/>
          <w:sz w:val="24"/>
          <w:szCs w:val="24"/>
        </w:rPr>
        <w:t>„</w:t>
      </w:r>
      <w:r w:rsidR="00A27093" w:rsidRPr="00A27093">
        <w:rPr>
          <w:rFonts w:ascii="Garamond" w:hAnsi="Garamond"/>
          <w:b/>
          <w:bCs/>
          <w:sz w:val="24"/>
          <w:szCs w:val="24"/>
        </w:rPr>
        <w:t>Przeglądy i naprawy pomp KSB w pompowniach OH Dębe</w:t>
      </w:r>
      <w:r w:rsidRPr="00A27093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E15572">
        <w:rPr>
          <w:rFonts w:ascii="Garamond" w:hAnsi="Garamond"/>
          <w:b/>
          <w:bCs/>
          <w:sz w:val="24"/>
          <w:szCs w:val="24"/>
        </w:rPr>
        <w:t>.240.</w:t>
      </w:r>
      <w:bookmarkStart w:id="1" w:name="_GoBack"/>
      <w:bookmarkEnd w:id="1"/>
      <w:r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Pr="002E7B1F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A27093" w:rsidRPr="00CE18D0" w:rsidRDefault="00A27093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 xml:space="preserve">Oświadczamy, iż na </w:t>
      </w:r>
      <w:r>
        <w:rPr>
          <w:rFonts w:ascii="Garamond" w:hAnsi="Garamond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5572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90A5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0BEB-0B56-4CB1-A57D-08AEFD98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Marta Waśkiewicz (RZGW Warszawa)</cp:lastModifiedBy>
  <cp:revision>2</cp:revision>
  <cp:lastPrinted>2020-07-29T13:35:00Z</cp:lastPrinted>
  <dcterms:created xsi:type="dcterms:W3CDTF">2020-08-09T18:29:00Z</dcterms:created>
  <dcterms:modified xsi:type="dcterms:W3CDTF">2020-08-09T18:29:00Z</dcterms:modified>
</cp:coreProperties>
</file>